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多媒体教学设备使用注意事项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湘潭医卫职业技术学院网络中心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课前检查多媒体设备和配件，如有无法处理的故障请联系维护人员。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本部校区：李老师，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河西校区：赵老师，</w:t>
      </w:r>
    </w:p>
    <w:p>
      <w:pPr>
        <w:widowControl w:val="0"/>
        <w:numPr>
          <w:ilvl w:val="0"/>
          <w:numId w:val="0"/>
        </w:numPr>
        <w:ind w:left="0"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0"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如需上网，请登陆认证网址（网络安全原因不公开在网络上）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用自己的多媒体上网账号登录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下课前请再次登录认证网址退出登录状态，方法是选择“我的设备”，选择“下线”。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下课后规范关闭所有设备和配件电源，整理收纳设备和配件，关闭多媒体讲台。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投影仪设备需要散热，可暂时不关闭教室总电源。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720" w:right="1134" w:bottom="7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U3ZTg4NDcyNzJjMDA5ZDRmZDE0MTRmZDVjMzAifQ=="/>
  </w:docVars>
  <w:rsids>
    <w:rsidRoot w:val="517C6841"/>
    <w:rsid w:val="09637BDF"/>
    <w:rsid w:val="1E2E387A"/>
    <w:rsid w:val="484B2700"/>
    <w:rsid w:val="517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0</TotalTime>
  <ScaleCrop>false</ScaleCrop>
  <LinksUpToDate>false</LinksUpToDate>
  <CharactersWithSpaces>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2020-10-27T03:59:00Z</dcterms:created>
  <dc:creator>老高1369367465</dc:creator>
  <cp:lastModifiedBy>老高1369367465</cp:lastModifiedBy>
  <cp:lastPrinted>2020-10-27T09:19:00Z</cp:lastPrinted>
  <dcterms:modified xsi:type="dcterms:W3CDTF">2023-04-04T01:33:07Z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AC037B9B519346928A007CEEBEAD6604_12</vt:lpwstr>
  </property>
</Properties>
</file>