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2023年湘潭市第三人民医院绿色通道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公开招聘临床实践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、考核原则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5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考核坚持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公开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平等、竞争、择优、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简便易行的原则。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二、考核对象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资格审查通过人员。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三、考核时长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考核期原则上为5个工作日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5"/>
        <w:textAlignment w:val="auto"/>
        <w:rPr>
          <w:rFonts w:hint="eastAsia" w:eastAsia="黑体"/>
          <w:color w:val="auto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四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考核内容和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量化构成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firstLine="645"/>
        <w:textAlignment w:val="auto"/>
        <w:rPr>
          <w:rFonts w:hint="eastAsia" w:eastAsia="仿宋_GB2312"/>
          <w:color w:val="auto"/>
          <w:lang w:eastAsia="zh-CN"/>
        </w:rPr>
      </w:pPr>
      <w:r>
        <w:rPr>
          <w:rStyle w:val="11"/>
          <w:rFonts w:ascii="楷体_GB2312" w:hAnsi="微软雅黑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</w:rPr>
        <w:t>（一）考核内容。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以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岗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位职责和所承担的工作任务为依据，及时了解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应聘人员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德、能、勤、绩、廉日常表现，重点考核完成日常工作任务情况</w:t>
      </w:r>
      <w:r>
        <w:rPr>
          <w:rFonts w:hint="eastAsia" w:asci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：临床技能、病历书写、新技术掌握、知识运用、临床教学、团队协作，医患沟通，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以及承担急难险重任务、处理复杂问题、应对重大考验、防范重大风险时的表现等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楷体_GB2312" w:hAnsi="微软雅黑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</w:rPr>
        <w:t>（二）考核</w:t>
      </w:r>
      <w:r>
        <w:rPr>
          <w:rStyle w:val="11"/>
          <w:rFonts w:hint="eastAsia" w:ascii="楷体_GB2312" w:hAnsi="微软雅黑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量化</w:t>
      </w:r>
      <w:r>
        <w:rPr>
          <w:rStyle w:val="11"/>
          <w:rFonts w:hint="eastAsia" w:ascii="楷体_GB2312" w:hAnsi="微软雅黑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评定结果采取百分制量化计分，设置60分合格线，60分以下均为不合格人员，不进入下一环节。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考核分为日常考核和期满考核，日常考核总分占比60%，期满考核总分占比40%。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日常考核：医院指定专家组每日对应聘人员进行考核，应聘人员服从专家组成员安排，协助老师完成指定行任务。专家组围绕应聘人员的每日表现进行考核，每日在17:30前填报日常考核登记表，每日考核分值为100分，最后得分取各位专家考核工作日的平均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891" w:firstLineChars="900"/>
        <w:jc w:val="left"/>
        <w:textAlignment w:val="auto"/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日常考核量化分值表</w:t>
      </w:r>
    </w:p>
    <w:tbl>
      <w:tblPr>
        <w:tblStyle w:val="8"/>
        <w:tblW w:w="4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专业能力水平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工作及学习态度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遵守规章制度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应变及承压能力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沟通协调能力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服务意识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jc w:val="left"/>
        <w:textAlignment w:val="auto"/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2.期满考核：由期满综合考评专家组采取综合考评的方式进行，在考核期的最后一天采取综合考评，并填报综合考评登记表，由考核专家组组长组织考核。综合考评分值为100分。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249" w:firstLineChars="700"/>
        <w:jc w:val="left"/>
        <w:textAlignment w:val="auto"/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>期满考核量化分值表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55"/>
        <w:gridCol w:w="5771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" w:hRule="atLeast"/>
        </w:trPr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基础分</w:t>
            </w:r>
          </w:p>
        </w:tc>
        <w:tc>
          <w:tcPr>
            <w:tcW w:w="144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                  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遵守医院规章制度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5" w:type="dxa"/>
            <w:vMerge w:val="continue"/>
            <w:tcBorders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文明礼貌，优质服务，一切以病人为中心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455" w:type="dxa"/>
            <w:vMerge w:val="continue"/>
            <w:tcBorders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顾全大局，团结协作，和谐共事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                     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严格落实医疗核心制度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5" w:type="dxa"/>
            <w:vMerge w:val="continue"/>
            <w:tcBorders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严格遵守诊疗指南及操作规范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5" w:type="dxa"/>
            <w:vMerge w:val="continue"/>
            <w:tcBorders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医疗文书的规范书写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5" w:type="dxa"/>
            <w:vMerge w:val="continue"/>
            <w:tcBorders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医疗相关数据信息登记及报告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5" w:type="dxa"/>
            <w:vMerge w:val="continue"/>
            <w:tcBorders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严格遵守国家医保政策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 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工作尽力尽责，勤奋不怠，甘于奉献</w:t>
            </w:r>
            <w:r>
              <w:rPr>
                <w:rStyle w:val="12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遵守劳动纪律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5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履行岗位职责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" w:hRule="atLeast"/>
        </w:trPr>
        <w:tc>
          <w:tcPr>
            <w:tcW w:w="1455" w:type="dxa"/>
            <w:vMerge w:val="continue"/>
            <w:tcBorders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提高职业素养，保证医疗质量与安全，推动医院高质量发展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40"/>
                <w:szCs w:val="4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                   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严格遵守卫生法律法规、坚持依法执业。严格遵守廉洁从业九项准则。</w:t>
            </w:r>
          </w:p>
        </w:tc>
        <w:tc>
          <w:tcPr>
            <w:tcW w:w="144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10分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有下列情形之一的，应确定为不合格: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（1）思想政治素质较差的；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（2）无法正常履行职责，完成指定工作的；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（3）工作责任心或工作作风较差的；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left"/>
        <w:textAlignment w:val="auto"/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（4）道德品行较差，存在不廉洁问题的。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0" w:firstLineChars="200"/>
        <w:jc w:val="left"/>
        <w:textAlignment w:val="auto"/>
        <w:rPr>
          <w:color w:val="auto"/>
        </w:rPr>
      </w:pP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五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、工作要求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78" w:lineRule="exact"/>
        <w:ind w:right="27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（一）考核工作实行回避制度。招聘单位负责人和工作人员在组织考核工作事项时，属于《事业单位人事管理回避规定》（人社部规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〔2019〕1号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）情形或者其他可能影响招聘公正的，应当主动申请回避。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78" w:lineRule="exact"/>
        <w:ind w:right="27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（二）考核工作做到信息公开、过程公开、结果公开，接受社会及有关部门的监督。纪检监察部门全程参与监督。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78" w:lineRule="exact"/>
        <w:ind w:right="270" w:firstLine="640" w:firstLineChars="200"/>
        <w:jc w:val="both"/>
        <w:textAlignment w:val="auto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（三）应聘人员、招聘单位和招聘工作人员在考核工作中违纪违规行为的认定与处理，执行《事业单位公开招聘违纪违规行为处理规定》（人社部令第 35 号）。构成犯罪的，依法追究刑事责任。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湘潭市第三人民医院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/>
          <w:sz w:val="10"/>
          <w:szCs w:val="10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2023年2月2日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E5CFA"/>
    <w:multiLevelType w:val="singleLevel"/>
    <w:tmpl w:val="1D5E5C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2YzOWM0YWEzMzM2NzE2MTdmNGU1Mjg3NzI3MDYifQ=="/>
  </w:docVars>
  <w:rsids>
    <w:rsidRoot w:val="00000000"/>
    <w:rsid w:val="001315D9"/>
    <w:rsid w:val="07212073"/>
    <w:rsid w:val="0EAF5917"/>
    <w:rsid w:val="17CE1DCE"/>
    <w:rsid w:val="1A0E760D"/>
    <w:rsid w:val="3FACF59B"/>
    <w:rsid w:val="3FF7CA67"/>
    <w:rsid w:val="48367053"/>
    <w:rsid w:val="4EB7F564"/>
    <w:rsid w:val="51F010A8"/>
    <w:rsid w:val="57DF1429"/>
    <w:rsid w:val="66636F9A"/>
    <w:rsid w:val="6BCE0A63"/>
    <w:rsid w:val="7577408F"/>
    <w:rsid w:val="77F3F425"/>
    <w:rsid w:val="7B204A05"/>
    <w:rsid w:val="7BAF93C7"/>
    <w:rsid w:val="7DAFC60F"/>
    <w:rsid w:val="7E6E3A5E"/>
    <w:rsid w:val="7E8412D4"/>
    <w:rsid w:val="7EDBC404"/>
    <w:rsid w:val="B3F7CD31"/>
    <w:rsid w:val="BDA41A73"/>
    <w:rsid w:val="BFFFAA0B"/>
    <w:rsid w:val="EF8C502A"/>
    <w:rsid w:val="FB8F11E3"/>
    <w:rsid w:val="FD7311DD"/>
    <w:rsid w:val="FFDD8C16"/>
    <w:rsid w:val="FFF36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Times New Roman"/>
      <w:sz w:val="24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jc w:val="center"/>
      <w:outlineLvl w:val="0"/>
    </w:pPr>
    <w:rPr>
      <w:rFonts w:ascii="Arial" w:hAnsi="Arial"/>
      <w:b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3"/>
    <w:basedOn w:val="10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2021-08-28T09:05:00Z</dcterms:created>
  <dc:creator>Administrator</dc:creator>
  <cp:lastModifiedBy>谭</cp:lastModifiedBy>
  <cp:lastPrinted>2023-01-30T01:26:00Z</cp:lastPrinted>
  <dcterms:modified xsi:type="dcterms:W3CDTF">2023-02-03T04:51:35Z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85FE59E2C9E3499A890935E97600DD6B</vt:lpwstr>
  </property>
</Properties>
</file>